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06.07.2022 N 531</w:t>
              <w:br/>
              <w:t xml:space="preserve">(ред. от 03.07.2024)</w:t>
              <w:br/>
              <w:t xml:space="preserve">"Об утверждении федерального государственного образовательного стандарта среднего профессионального образования по специальности 31.02.05 Стоматология ортопедическая"</w:t>
              <w:br/>
              <w:t xml:space="preserve">(Зарегистрировано в Минюсте России 29.07.2022 N 69454)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29 июля 2022 г. N 69454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6 июля 2022 г. N 531</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31.02.05 СТОМАТОЛОГИЯ ОРТОПЕДИЧЕСКАЯ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color w:val="392c69"/>
              </w:rPr>
              <w:t xml:space="preserve"> Минпросвещения России от 03.07.2024 N 464)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0"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31.02.05 Стоматология ортопедическая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6"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1" w:tooltip="Приказ Минобрнауки России от 11.08.2014 N 972 (ред. от 13.07.2021) &quot;Об утверждении федерального государственного образовательного стандарта среднего профессионального образования по специальности 31.02.05 Стоматология ортопедическая&quot; (Зарегистрировано в Минюсте России 25.08.2014 N 33767) {КонсультантПлюс}">
        <w:r>
          <w:rPr>
            <w:sz w:val="20"/>
            <w:color w:val="0000ff"/>
          </w:rPr>
          <w:t xml:space="preserve">стандартом</w:t>
        </w:r>
      </w:hyperlink>
      <w:r>
        <w:rPr>
          <w:sz w:val="20"/>
        </w:rPr>
        <w:t xml:space="preserve"> среднего профессионального образования по специальности </w:t>
      </w:r>
      <w:hyperlink w:history="0" r:id="rId12"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31.02.05</w:t>
        </w:r>
      </w:hyperlink>
      <w:r>
        <w:rPr>
          <w:sz w:val="20"/>
        </w:rPr>
        <w:t xml:space="preserve"> Стоматология ортопедическая, утвержденным приказом Министерства образования и науки Российской Федерации от 11 августа 2014 г. N 972 (зарегистрирован Министерством юстиции Российской Федерации 25 августа 2014 г., регистрационный N 33767), с изменениями, внесенными приказами Министерства образования и науки Российской Федерации от 9 апреля 2015 г. N 391 (зарегистрирован Министерством юстиции Российской Федерации 14 мая 2015 г., регистрационный N 37276), от 24 июля 2015 г. N 754 (зарегистрирован Министерством юстиции Российской Федерации 18 августа 2015 г., регистрационный N 38582)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прекращается с 31 декабря 2022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6 июля 2022 г. N 531</w:t>
      </w:r>
    </w:p>
    <w:p>
      <w:pPr>
        <w:pStyle w:val="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31.02.05 СТОМАТОЛОГИЯ ОРТОПЕДИЧЕСКАЯ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color w:val="392c69"/>
              </w:rPr>
              <w:t xml:space="preserve"> Минпросвещения России от 03.07.2024 N 464)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bookmarkStart w:id="44" w:name="P44"/>
    <w:bookmarkEnd w:id="44"/>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w:t>
      </w:r>
      <w:hyperlink w:history="0" r:id="rId14" w:tooltip="Приказ Минпросвещения России от 17.05.2022 N 336 (ред. от 16.09.2025) &quo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quot;Об утверждении перечней професс {КонсультантПлюс}">
        <w:r>
          <w:rPr>
            <w:sz w:val="20"/>
            <w:color w:val="0000ff"/>
          </w:rPr>
          <w:t xml:space="preserve">31.02.05</w:t>
        </w:r>
      </w:hyperlink>
      <w:r>
        <w:rPr>
          <w:sz w:val="20"/>
        </w:rPr>
        <w:t xml:space="preserve"> Стоматология ортопедическая (далее соответственно - ФГОС СПО, образовательная программа, специальность) в соответствии с квалификацией специалиста среднего звена "зубной техник"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Приказ Минпросвещения России от 17.05.2022 N 336 (ред. от 16.09.2025) &quo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quot;Об утверждении перечней професс {КонсультантПлюс}">
        <w:r>
          <w:rPr>
            <w:sz w:val="20"/>
            <w:color w:val="0000ff"/>
          </w:rPr>
          <w:t xml:space="preserve">Перечень</w:t>
        </w:r>
      </w:hyperlink>
      <w:r>
        <w:rPr>
          <w:sz w:val="20"/>
        </w:rPr>
        <w:t xml:space="preserve"> специальностей среднего профессионального образования, утвержденный приказом Министерства просвещения Российской Федерации от 17 мая 2022 г. N 336 (зарегистрирован Министерством юстиции Российской Федерации 17 июня 2022 г., регистрационный N 68887).</w:t>
      </w:r>
    </w:p>
    <w:p>
      <w:pPr>
        <w:pStyle w:val="0"/>
        <w:jc w:val="both"/>
      </w:pPr>
      <w:r>
        <w:rPr>
          <w:sz w:val="20"/>
        </w:rPr>
      </w:r>
    </w:p>
    <w:p>
      <w:pPr>
        <w:pStyle w:val="0"/>
        <w:ind w:firstLine="540"/>
        <w:jc w:val="both"/>
      </w:pPr>
      <w:r>
        <w:rPr>
          <w:sz w:val="20"/>
        </w:rPr>
        <w:t xml:space="preserve">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Обучение по образовательной программе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1.4.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1.5.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spacing w:before="200" w:lineRule="auto"/>
        <w:ind w:firstLine="540"/>
        <w:jc w:val="both"/>
      </w:pPr>
      <w:r>
        <w:rPr>
          <w:sz w:val="20"/>
        </w:rPr>
        <w:t xml:space="preserve">1.6.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образовательную программу, включенную в реестр примерных образовательных программ (далее - ПОП), примерной рабочей программы воспитания и примерного календарного плана воспитательной работы &lt;2&gt;.</w:t>
      </w:r>
    </w:p>
    <w:p>
      <w:pPr>
        <w:pStyle w:val="0"/>
        <w:jc w:val="both"/>
      </w:pPr>
      <w:r>
        <w:rPr>
          <w:sz w:val="20"/>
        </w:rPr>
        <w:t xml:space="preserve">(в ред. </w:t>
      </w:r>
      <w:hyperlink w:history="0" r:id="rId1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12.1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0"/>
        </w:rPr>
      </w:r>
    </w:p>
    <w:p>
      <w:pPr>
        <w:pStyle w:val="0"/>
        <w:ind w:firstLine="540"/>
        <w:jc w:val="both"/>
      </w:pPr>
      <w:r>
        <w:rPr>
          <w:sz w:val="20"/>
        </w:rPr>
        <w:t xml:space="preserve">1.7.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bookmarkStart w:id="63" w:name="P63"/>
    <w:bookmarkEnd w:id="63"/>
    <w:p>
      <w:pPr>
        <w:pStyle w:val="0"/>
        <w:ind w:firstLine="540"/>
        <w:jc w:val="both"/>
      </w:pPr>
      <w:r>
        <w:rPr>
          <w:sz w:val="20"/>
        </w:rPr>
        <w:t xml:space="preserve">1.8. Срок получения образования по образовательной программе в очной форме обучения вне зависимости от применяемых образовательных технологий составляет на базе среднего общего образования - 1 год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pPr>
        <w:pStyle w:val="0"/>
        <w:spacing w:before="200" w:lineRule="auto"/>
        <w:ind w:firstLine="540"/>
        <w:jc w:val="both"/>
      </w:pPr>
      <w:r>
        <w:rPr>
          <w:sz w:val="20"/>
        </w:rPr>
        <w:t xml:space="preserve">1.9.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1.10. Конкретный срок получения образования в очно-заочной форме обучения, а также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w:t>
      </w:r>
      <w:hyperlink w:history="0" w:anchor="P63" w:tooltip="1.8. Срок получения образования по образовательной программе в очной форме обучения вне зависимости от применяемых образовательных технологий составляет на базе среднего общего образования - 1 год 10 месяцев.">
        <w:r>
          <w:rPr>
            <w:sz w:val="20"/>
            <w:color w:val="0000ff"/>
          </w:rPr>
          <w:t xml:space="preserve">пунктом 1.8</w:t>
        </w:r>
      </w:hyperlink>
      <w:r>
        <w:rPr>
          <w:sz w:val="20"/>
        </w:rPr>
        <w:t xml:space="preserve"> ФГОС СПО.</w:t>
      </w:r>
    </w:p>
    <w:p>
      <w:pPr>
        <w:pStyle w:val="0"/>
        <w:spacing w:before="200" w:lineRule="auto"/>
        <w:ind w:firstLine="540"/>
        <w:jc w:val="both"/>
      </w:pPr>
      <w:r>
        <w:rPr>
          <w:sz w:val="20"/>
        </w:rPr>
        <w:t xml:space="preserve">1.11.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bookmarkStart w:id="68" w:name="P68"/>
    <w:bookmarkEnd w:id="68"/>
    <w:p>
      <w:pPr>
        <w:pStyle w:val="0"/>
        <w:spacing w:before="200" w:lineRule="auto"/>
        <w:ind w:firstLine="540"/>
        <w:jc w:val="both"/>
      </w:pPr>
      <w:r>
        <w:rPr>
          <w:sz w:val="20"/>
        </w:rPr>
        <w:t xml:space="preserve">1.12.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02</w:t>
        </w:r>
      </w:hyperlink>
      <w:r>
        <w:rPr>
          <w:sz w:val="20"/>
        </w:rPr>
        <w:t xml:space="preserve"> Здравоохранение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pPr>
        <w:pStyle w:val="0"/>
        <w:spacing w:before="200" w:lineRule="auto"/>
        <w:ind w:firstLine="540"/>
        <w:jc w:val="both"/>
      </w:pPr>
      <w:r>
        <w:rPr>
          <w:sz w:val="20"/>
        </w:rPr>
        <w:t xml:space="preserve">1.13. При разработке образовательной программы организация устанавливает направленность, которая соответствует специальности в целом с учетом, соответствующей ПОП.</w:t>
      </w:r>
    </w:p>
    <w:p>
      <w:pPr>
        <w:pStyle w:val="0"/>
        <w:jc w:val="both"/>
      </w:pPr>
      <w:r>
        <w:rPr>
          <w:sz w:val="20"/>
        </w:rPr>
        <w:t xml:space="preserve">(в ред. </w:t>
      </w:r>
      <w:hyperlink w:history="0" r:id="rId2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и объем образовательной программы </w:t>
      </w:r>
      <w:hyperlink w:history="0" w:anchor="P85" w:tooltip="Структура и объем образовательной программы">
        <w:r>
          <w:rPr>
            <w:sz w:val="20"/>
            <w:color w:val="0000ff"/>
          </w:rPr>
          <w:t xml:space="preserve">(таблица N 1)</w:t>
        </w:r>
      </w:hyperlink>
      <w:r>
        <w:rPr>
          <w:sz w:val="20"/>
        </w:rPr>
        <w:t xml:space="preserve"> включает:</w:t>
      </w:r>
    </w:p>
    <w:p>
      <w:pPr>
        <w:pStyle w:val="0"/>
        <w:spacing w:before="200" w:lineRule="auto"/>
        <w:ind w:firstLine="540"/>
        <w:jc w:val="both"/>
      </w:pPr>
      <w:r>
        <w:rPr>
          <w:sz w:val="20"/>
        </w:rPr>
        <w:t xml:space="preserve">дисциплины (модули);</w:t>
      </w:r>
    </w:p>
    <w:p>
      <w:pPr>
        <w:pStyle w:val="0"/>
        <w:spacing w:before="200" w:lineRule="auto"/>
        <w:ind w:firstLine="540"/>
        <w:jc w:val="both"/>
      </w:pPr>
      <w:r>
        <w:rPr>
          <w:sz w:val="20"/>
        </w:rPr>
        <w:t xml:space="preserve">практику;</w:t>
      </w:r>
    </w:p>
    <w:p>
      <w:pPr>
        <w:pStyle w:val="0"/>
        <w:spacing w:before="200" w:lineRule="auto"/>
        <w:ind w:firstLine="540"/>
        <w:jc w:val="both"/>
      </w:pPr>
      <w:r>
        <w:rPr>
          <w:sz w:val="20"/>
        </w:rPr>
        <w:t xml:space="preserve">государственную итоговую аттестацию.</w:t>
      </w:r>
    </w:p>
    <w:p>
      <w:pPr>
        <w:pStyle w:val="0"/>
        <w:jc w:val="both"/>
      </w:pPr>
      <w:r>
        <w:rPr>
          <w:sz w:val="20"/>
        </w:rPr>
      </w:r>
    </w:p>
    <w:p>
      <w:pPr>
        <w:pStyle w:val="0"/>
        <w:jc w:val="right"/>
      </w:pPr>
      <w:r>
        <w:rPr>
          <w:sz w:val="20"/>
        </w:rPr>
        <w:t xml:space="preserve">Таблица N 1</w:t>
      </w:r>
    </w:p>
    <w:p>
      <w:pPr>
        <w:pStyle w:val="0"/>
        <w:jc w:val="both"/>
      </w:pPr>
      <w:r>
        <w:rPr>
          <w:sz w:val="20"/>
        </w:rPr>
      </w:r>
    </w:p>
    <w:bookmarkStart w:id="85" w:name="P85"/>
    <w:bookmarkEnd w:id="85"/>
    <w:p>
      <w:pPr>
        <w:pStyle w:val="0"/>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3401"/>
      </w:tblGrid>
      <w:tr>
        <w:tc>
          <w:tcPr>
            <w:tcW w:w="5669" w:type="dxa"/>
          </w:tcPr>
          <w:p>
            <w:pPr>
              <w:pStyle w:val="0"/>
              <w:jc w:val="center"/>
            </w:pPr>
            <w:r>
              <w:rPr>
                <w:sz w:val="20"/>
              </w:rPr>
              <w:t xml:space="preserve">Структура образовательной программы</w:t>
            </w:r>
          </w:p>
        </w:tc>
        <w:tc>
          <w:tcPr>
            <w:tcW w:w="3401" w:type="dxa"/>
          </w:tcPr>
          <w:p>
            <w:pPr>
              <w:pStyle w:val="0"/>
              <w:jc w:val="center"/>
            </w:pPr>
            <w:r>
              <w:rPr>
                <w:sz w:val="20"/>
              </w:rPr>
              <w:t xml:space="preserve">Объем образовательной программы, в академических часах</w:t>
            </w:r>
          </w:p>
        </w:tc>
      </w:tr>
      <w:tr>
        <w:tc>
          <w:tcPr>
            <w:tcW w:w="5669" w:type="dxa"/>
          </w:tcPr>
          <w:p>
            <w:pPr>
              <w:pStyle w:val="0"/>
            </w:pPr>
            <w:r>
              <w:rPr>
                <w:sz w:val="20"/>
              </w:rPr>
              <w:t xml:space="preserve">Дисциплины (модули)</w:t>
            </w:r>
          </w:p>
        </w:tc>
        <w:tc>
          <w:tcPr>
            <w:tcW w:w="3401" w:type="dxa"/>
          </w:tcPr>
          <w:p>
            <w:pPr>
              <w:pStyle w:val="0"/>
              <w:jc w:val="center"/>
            </w:pPr>
            <w:r>
              <w:rPr>
                <w:sz w:val="20"/>
              </w:rPr>
              <w:t xml:space="preserve">Не менее 1476</w:t>
            </w:r>
          </w:p>
        </w:tc>
      </w:tr>
      <w:tr>
        <w:tc>
          <w:tcPr>
            <w:tcW w:w="5669" w:type="dxa"/>
          </w:tcPr>
          <w:p>
            <w:pPr>
              <w:pStyle w:val="0"/>
            </w:pPr>
            <w:r>
              <w:rPr>
                <w:sz w:val="20"/>
              </w:rPr>
              <w:t xml:space="preserve">Практика</w:t>
            </w:r>
          </w:p>
        </w:tc>
        <w:tc>
          <w:tcPr>
            <w:tcW w:w="3401" w:type="dxa"/>
          </w:tcPr>
          <w:p>
            <w:pPr>
              <w:pStyle w:val="0"/>
              <w:jc w:val="center"/>
            </w:pPr>
            <w:r>
              <w:rPr>
                <w:sz w:val="20"/>
              </w:rPr>
              <w:t xml:space="preserve">Не менее 540</w:t>
            </w:r>
          </w:p>
        </w:tc>
      </w:tr>
      <w:tr>
        <w:tc>
          <w:tcPr>
            <w:tcW w:w="5669" w:type="dxa"/>
          </w:tcPr>
          <w:p>
            <w:pPr>
              <w:pStyle w:val="0"/>
            </w:pPr>
            <w:r>
              <w:rPr>
                <w:sz w:val="20"/>
              </w:rPr>
              <w:t xml:space="preserve">Государственная итоговая аттестация</w:t>
            </w:r>
          </w:p>
        </w:tc>
        <w:tc>
          <w:tcPr>
            <w:tcW w:w="3401" w:type="dxa"/>
          </w:tcPr>
          <w:p>
            <w:pPr>
              <w:pStyle w:val="0"/>
              <w:jc w:val="center"/>
            </w:pPr>
            <w:r>
              <w:rPr>
                <w:sz w:val="20"/>
              </w:rPr>
              <w:t xml:space="preserve">108</w:t>
            </w:r>
          </w:p>
        </w:tc>
      </w:tr>
      <w:tr>
        <w:tc>
          <w:tcPr>
            <w:gridSpan w:val="2"/>
            <w:tcW w:w="9070" w:type="dxa"/>
          </w:tcPr>
          <w:p>
            <w:pPr>
              <w:pStyle w:val="0"/>
              <w:jc w:val="center"/>
            </w:pPr>
            <w:r>
              <w:rPr>
                <w:sz w:val="20"/>
              </w:rPr>
              <w:t xml:space="preserve">Общий объем образовательной программы:</w:t>
            </w:r>
          </w:p>
        </w:tc>
      </w:tr>
      <w:tr>
        <w:tc>
          <w:tcPr>
            <w:tcW w:w="5669" w:type="dxa"/>
          </w:tcPr>
          <w:p>
            <w:pPr>
              <w:pStyle w:val="0"/>
            </w:pPr>
            <w:r>
              <w:rPr>
                <w:sz w:val="20"/>
              </w:rPr>
              <w:t xml:space="preserve">на базе среднего общего образования</w:t>
            </w:r>
          </w:p>
        </w:tc>
        <w:tc>
          <w:tcPr>
            <w:tcW w:w="3401" w:type="dxa"/>
          </w:tcPr>
          <w:p>
            <w:pPr>
              <w:pStyle w:val="0"/>
              <w:jc w:val="center"/>
            </w:pPr>
            <w:r>
              <w:rPr>
                <w:sz w:val="20"/>
              </w:rPr>
              <w:t xml:space="preserve">2952</w:t>
            </w:r>
          </w:p>
        </w:tc>
      </w:tr>
    </w:tbl>
    <w:p>
      <w:pPr>
        <w:pStyle w:val="0"/>
        <w:jc w:val="both"/>
      </w:pPr>
      <w:r>
        <w:rPr>
          <w:sz w:val="20"/>
        </w:rPr>
      </w:r>
    </w:p>
    <w:p>
      <w:pPr>
        <w:pStyle w:val="0"/>
        <w:ind w:firstLine="540"/>
        <w:jc w:val="both"/>
      </w:pPr>
      <w:r>
        <w:rPr>
          <w:sz w:val="20"/>
        </w:rPr>
        <w:t xml:space="preserve">2.2. Образовательная программа включает циклы:</w:t>
      </w:r>
    </w:p>
    <w:p>
      <w:pPr>
        <w:pStyle w:val="0"/>
        <w:spacing w:before="200" w:lineRule="auto"/>
        <w:ind w:firstLine="540"/>
        <w:jc w:val="both"/>
      </w:pPr>
      <w:r>
        <w:rPr>
          <w:sz w:val="20"/>
        </w:rPr>
        <w:t xml:space="preserve">социально-гуманитарный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2.3. В рамках образовательной программы выделяются обязательная часть и часть, формируемая участниками образовательных отношений (вариативная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35" w:tooltip="III. ТРЕБОВАНИЯ К РЕЗУЛЬТАТАМ ОСВОЕНИЯ">
        <w:r>
          <w:rPr>
            <w:sz w:val="20"/>
            <w:color w:val="0000ff"/>
          </w:rPr>
          <w:t xml:space="preserve">главой III</w:t>
        </w:r>
      </w:hyperlink>
      <w:r>
        <w:rPr>
          <w:sz w:val="20"/>
        </w:rPr>
        <w:t xml:space="preserve"> ФГОС СПО.</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более 70 процентов от общего объема времени, отведенного на освоение образовательной программы.</w:t>
      </w:r>
    </w:p>
    <w:p>
      <w:pPr>
        <w:pStyle w:val="0"/>
        <w:spacing w:before="200" w:lineRule="auto"/>
        <w:ind w:firstLine="540"/>
        <w:jc w:val="both"/>
      </w:pPr>
      <w:r>
        <w:rPr>
          <w:sz w:val="20"/>
        </w:rPr>
        <w:t xml:space="preserve">Вариативная часть образовательной программы объемом не менее 30 процентов от общего объема времени, отведенного на освоение образовательной программы, дает возможность дальнейшего развития общих и профессиональных компетенций, в том числе за счет расширения видов деятельности, введения дополнительных видов деятельности, а также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частей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ПОП.</w:t>
      </w:r>
    </w:p>
    <w:p>
      <w:pPr>
        <w:pStyle w:val="0"/>
        <w:jc w:val="both"/>
      </w:pPr>
      <w:r>
        <w:rPr>
          <w:sz w:val="20"/>
        </w:rPr>
        <w:t xml:space="preserve">(в ред. </w:t>
      </w:r>
      <w:hyperlink w:history="0" r:id="rId2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bookmarkStart w:id="108" w:name="P108"/>
    <w:bookmarkEnd w:id="108"/>
    <w:p>
      <w:pPr>
        <w:pStyle w:val="0"/>
        <w:spacing w:before="200" w:lineRule="auto"/>
        <w:ind w:firstLine="540"/>
        <w:jc w:val="both"/>
      </w:pPr>
      <w:r>
        <w:rPr>
          <w:sz w:val="20"/>
        </w:rPr>
        <w:t xml:space="preserve">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w:t>
      </w:r>
    </w:p>
    <w:p>
      <w:pPr>
        <w:pStyle w:val="0"/>
        <w:jc w:val="both"/>
      </w:pPr>
      <w:r>
        <w:rPr>
          <w:sz w:val="20"/>
        </w:rPr>
        <w:t xml:space="preserve">(в ред. </w:t>
      </w:r>
      <w:hyperlink w:history="0" r:id="rId2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выполнение подготовительных и организационно-технологических процедур при изготовлении зубных протезов и аппаратов;</w:t>
      </w:r>
    </w:p>
    <w:p>
      <w:pPr>
        <w:pStyle w:val="0"/>
        <w:spacing w:before="200" w:lineRule="auto"/>
        <w:ind w:firstLine="540"/>
        <w:jc w:val="both"/>
      </w:pPr>
      <w:r>
        <w:rPr>
          <w:sz w:val="20"/>
        </w:rPr>
        <w:t xml:space="preserve">изготовление съемных пластиночных, несъемных и бюгельных протезов;</w:t>
      </w:r>
    </w:p>
    <w:p>
      <w:pPr>
        <w:pStyle w:val="0"/>
        <w:spacing w:before="200" w:lineRule="auto"/>
        <w:ind w:firstLine="540"/>
        <w:jc w:val="both"/>
      </w:pPr>
      <w:r>
        <w:rPr>
          <w:sz w:val="20"/>
        </w:rPr>
        <w:t xml:space="preserve">изготовление ортодонтических аппаратов челюстно-лицевых протезов.</w:t>
      </w:r>
    </w:p>
    <w:p>
      <w:pPr>
        <w:pStyle w:val="0"/>
        <w:spacing w:before="200" w:lineRule="auto"/>
        <w:ind w:firstLine="540"/>
        <w:jc w:val="both"/>
      </w:pPr>
      <w:r>
        <w:rPr>
          <w:sz w:val="20"/>
        </w:rPr>
        <w:t xml:space="preserve">2.5. Образовательная организация при необходимости самостоятельно формирует виды деятельности в дополнение к видам деятельности, указанным в </w:t>
      </w:r>
      <w:hyperlink w:history="0" w:anchor="P108"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0"/>
            <w:color w:val="0000ff"/>
          </w:rPr>
          <w:t xml:space="preserve">пункте 2.4</w:t>
        </w:r>
      </w:hyperlink>
      <w:r>
        <w:rPr>
          <w:sz w:val="20"/>
        </w:rPr>
        <w:t xml:space="preserve"> ФГОС СПО, в рамках вариативной части.</w:t>
      </w:r>
    </w:p>
    <w:p>
      <w:pPr>
        <w:pStyle w:val="0"/>
        <w:spacing w:before="200" w:lineRule="auto"/>
        <w:ind w:firstLine="540"/>
        <w:jc w:val="both"/>
      </w:pPr>
      <w:r>
        <w:rPr>
          <w:sz w:val="20"/>
        </w:rPr>
        <w:t xml:space="preserve">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pPr>
        <w:pStyle w:val="0"/>
        <w:spacing w:before="200" w:lineRule="auto"/>
        <w:ind w:firstLine="540"/>
        <w:jc w:val="both"/>
      </w:pPr>
      <w:r>
        <w:rPr>
          <w:sz w:val="20"/>
        </w:rPr>
        <w:t xml:space="preserve">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 в очно-заочной форме обучения.</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 "Основы финансовой грамотности".</w:t>
      </w:r>
    </w:p>
    <w:p>
      <w:pPr>
        <w:pStyle w:val="0"/>
        <w:spacing w:before="200" w:lineRule="auto"/>
        <w:ind w:firstLine="540"/>
        <w:jc w:val="both"/>
      </w:pPr>
      <w:r>
        <w:rPr>
          <w:sz w:val="20"/>
        </w:rPr>
        <w:t xml:space="preserve">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pPr>
        <w:pStyle w:val="0"/>
        <w:spacing w:before="200" w:lineRule="auto"/>
        <w:ind w:firstLine="540"/>
        <w:jc w:val="both"/>
      </w:pPr>
      <w:r>
        <w:rPr>
          <w:sz w:val="20"/>
        </w:rPr>
        <w:t xml:space="preserve">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подготовки к профессиональной деятельности, предупреждению профессиональных заболеваний.</w:t>
      </w:r>
    </w:p>
    <w:p>
      <w:pPr>
        <w:pStyle w:val="0"/>
        <w:spacing w:before="200" w:lineRule="auto"/>
        <w:ind w:firstLine="540"/>
        <w:jc w:val="both"/>
      </w:pPr>
      <w:r>
        <w:rPr>
          <w:sz w:val="20"/>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2.8. Обязательная часть общепрофессионального цикла образовательной программы должна предусматривать изучение следующих дисциплин: "Анатомия и физиология человека с курсом биомеханики зубочелюстной системы", "Основы микробиологии и инфекционная безопасность", "Стоматологические заболевания", "Гигиена с экологией человека".</w:t>
      </w:r>
    </w:p>
    <w:p>
      <w:pPr>
        <w:pStyle w:val="0"/>
        <w:spacing w:before="200" w:lineRule="auto"/>
        <w:ind w:firstLine="540"/>
        <w:jc w:val="both"/>
      </w:pPr>
      <w:r>
        <w:rPr>
          <w:sz w:val="20"/>
        </w:rPr>
        <w:t xml:space="preserve">2.9. Профессиональный цикл образовательной программы включает профессиональные модули, которые формируются в соответствии с видами деятельности, предусмотренными </w:t>
      </w:r>
      <w:hyperlink w:history="0" w:anchor="P108"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0"/>
            <w:color w:val="0000ff"/>
          </w:rPr>
          <w:t xml:space="preserve">пунктом 2.4</w:t>
        </w:r>
      </w:hyperlink>
      <w:r>
        <w:rPr>
          <w:sz w:val="20"/>
        </w:rPr>
        <w:t xml:space="preserve"> ФГОС СПО, а также дополнительными видами деятельности, сформированными образовательными организациями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ПОП. Объем профессионального модуля составляет не менее 4 зачетных единиц.</w:t>
      </w:r>
    </w:p>
    <w:p>
      <w:pPr>
        <w:pStyle w:val="0"/>
        <w:jc w:val="both"/>
      </w:pPr>
      <w:r>
        <w:rPr>
          <w:sz w:val="20"/>
        </w:rPr>
        <w:t xml:space="preserve">(в ред. </w:t>
      </w:r>
      <w:hyperlink w:history="0" r:id="rId2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рассредоточенно, чередуясь с учебными занятиями. Типы практики устанавливаются образовательной организацией самостоятельно с учетом ПОП.</w:t>
      </w:r>
    </w:p>
    <w:p>
      <w:pPr>
        <w:pStyle w:val="0"/>
        <w:jc w:val="both"/>
      </w:pPr>
      <w:r>
        <w:rPr>
          <w:sz w:val="20"/>
        </w:rPr>
        <w:t xml:space="preserve">(в ред. </w:t>
      </w:r>
      <w:hyperlink w:history="0" r:id="rId2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00" w:lineRule="auto"/>
        <w:ind w:firstLine="540"/>
        <w:jc w:val="both"/>
      </w:pPr>
      <w:r>
        <w:rPr>
          <w:sz w:val="20"/>
        </w:rPr>
        <w:t xml:space="preserve">2.12. Государственная итоговая аттестация проводится в форме государственного экзамена с учетом требований к аккредитации специалистов, установленных законодательством Российской Федерации в сфере охраны здоровья &lt;5(1)&gt;.</w:t>
      </w:r>
    </w:p>
    <w:p>
      <w:pPr>
        <w:pStyle w:val="0"/>
        <w:jc w:val="both"/>
      </w:pPr>
      <w:r>
        <w:rPr>
          <w:sz w:val="20"/>
        </w:rPr>
        <w:t xml:space="preserve">(п. 2.12 в ред. </w:t>
      </w:r>
      <w:hyperlink w:history="0" r:id="rId2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&lt;5(1)&gt; </w:t>
      </w:r>
      <w:hyperlink w:history="0" r:id="rId2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 3 статьи 69</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t xml:space="preserve">(сноска введена </w:t>
      </w:r>
      <w:hyperlink w:history="0" r:id="rId2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Приказом</w:t>
        </w:r>
      </w:hyperlink>
      <w:r>
        <w:rPr>
          <w:sz w:val="20"/>
        </w:rPr>
        <w:t xml:space="preserve"> Минпросвещения России от 03.07.2024 N 464)</w:t>
      </w:r>
    </w:p>
    <w:p>
      <w:pPr>
        <w:pStyle w:val="0"/>
        <w:ind w:firstLine="540"/>
        <w:jc w:val="both"/>
      </w:pPr>
      <w:r>
        <w:rPr>
          <w:sz w:val="20"/>
        </w:rPr>
      </w:r>
    </w:p>
    <w:p>
      <w:pPr>
        <w:pStyle w:val="0"/>
        <w:ind w:firstLine="540"/>
        <w:jc w:val="both"/>
      </w:pPr>
      <w:r>
        <w:rPr>
          <w:sz w:val="20"/>
        </w:rPr>
        <w:t xml:space="preserve">2.13. Государственная итоговая аттестация завершается присвоением квалификации специалиста среднего звена, указанной в </w:t>
      </w:r>
      <w:hyperlink w:history="0" w:anchor="P44" w:tooltip="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31.02.05 Стоматология ортопедическая (далее соответственно - ФГОС СПО, образовательная программа, специальность) в соответствии с квалификацией специалиста среднего звена &quot;зубной техник&quot; &lt;1&gt;.">
        <w:r>
          <w:rPr>
            <w:sz w:val="20"/>
            <w:color w:val="0000ff"/>
          </w:rPr>
          <w:t xml:space="preserve">пункте 1.1</w:t>
        </w:r>
      </w:hyperlink>
      <w:r>
        <w:rPr>
          <w:sz w:val="20"/>
        </w:rPr>
        <w:t xml:space="preserve"> ФГОС СПО.</w:t>
      </w:r>
    </w:p>
    <w:p>
      <w:pPr>
        <w:pStyle w:val="0"/>
        <w:jc w:val="both"/>
      </w:pPr>
      <w:r>
        <w:rPr>
          <w:sz w:val="20"/>
        </w:rPr>
      </w:r>
    </w:p>
    <w:bookmarkStart w:id="135" w:name="P135"/>
    <w:bookmarkEnd w:id="135"/>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pPr>
        <w:pStyle w:val="0"/>
        <w:jc w:val="both"/>
      </w:pPr>
      <w:r>
        <w:rPr>
          <w:sz w:val="20"/>
        </w:rPr>
        <w:t xml:space="preserve">(в ред. </w:t>
      </w:r>
      <w:hyperlink w:history="0" r:id="rId2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jc w:val="both"/>
      </w:pPr>
      <w:r>
        <w:rPr>
          <w:sz w:val="20"/>
        </w:rPr>
        <w:t xml:space="preserve">(в ред. </w:t>
      </w:r>
      <w:hyperlink w:history="0" r:id="rId3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spacing w:before="200" w:lineRule="auto"/>
        <w:ind w:firstLine="540"/>
        <w:jc w:val="both"/>
      </w:pPr>
      <w:r>
        <w:rPr>
          <w:sz w:val="20"/>
        </w:rPr>
        <w:t xml:space="preserve">3.3. Выпускник, освоивший образовательную программу, должен обладать профессиональными компетенциями (далее - ПК), соответствующими видам деятельности (таблица N 2), предусмотренными </w:t>
      </w:r>
      <w:hyperlink w:history="0" w:anchor="P108"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0"/>
            <w:color w:val="0000ff"/>
          </w:rPr>
          <w:t xml:space="preserve">пунктом 2.4</w:t>
        </w:r>
      </w:hyperlink>
      <w:r>
        <w:rPr>
          <w:sz w:val="20"/>
        </w:rPr>
        <w:t xml:space="preserve"> ФГОС СПО, сформированными в том числе на основе профессиональных стандартов (при наличии), указанных в ПОП.</w:t>
      </w:r>
    </w:p>
    <w:p>
      <w:pPr>
        <w:pStyle w:val="0"/>
        <w:jc w:val="both"/>
      </w:pPr>
      <w:r>
        <w:rPr>
          <w:sz w:val="20"/>
        </w:rPr>
        <w:t xml:space="preserve">(в ред. </w:t>
      </w:r>
      <w:hyperlink w:history="0" r:id="rId3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jc w:val="both"/>
      </w:pPr>
      <w:r>
        <w:rPr>
          <w:sz w:val="20"/>
        </w:rPr>
      </w:r>
    </w:p>
    <w:p>
      <w:pPr>
        <w:pStyle w:val="0"/>
        <w:jc w:val="right"/>
      </w:pPr>
      <w:r>
        <w:rPr>
          <w:sz w:val="20"/>
        </w:rPr>
        <w:t xml:space="preserve">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86"/>
        <w:gridCol w:w="7152"/>
      </w:tblGrid>
      <w:tr>
        <w:tc>
          <w:tcPr>
            <w:tcW w:w="2986" w:type="dxa"/>
          </w:tcPr>
          <w:p>
            <w:pPr>
              <w:pStyle w:val="0"/>
              <w:jc w:val="center"/>
            </w:pPr>
            <w:r>
              <w:rPr>
                <w:sz w:val="20"/>
              </w:rPr>
              <w:t xml:space="preserve">Виды деятельности</w:t>
            </w:r>
          </w:p>
        </w:tc>
        <w:tc>
          <w:tcPr>
            <w:tcW w:w="7152" w:type="dxa"/>
          </w:tcPr>
          <w:p>
            <w:pPr>
              <w:pStyle w:val="0"/>
              <w:jc w:val="center"/>
            </w:pPr>
            <w:r>
              <w:rPr>
                <w:sz w:val="20"/>
              </w:rPr>
              <w:t xml:space="preserve">Профессиональные компетенции, соответствующие видам деятельности</w:t>
            </w:r>
          </w:p>
        </w:tc>
      </w:tr>
      <w:tr>
        <w:tc>
          <w:tcPr>
            <w:tcW w:w="2986" w:type="dxa"/>
          </w:tcPr>
          <w:p>
            <w:pPr>
              <w:pStyle w:val="0"/>
              <w:jc w:val="center"/>
            </w:pPr>
            <w:r>
              <w:rPr>
                <w:sz w:val="20"/>
              </w:rPr>
              <w:t xml:space="preserve">1</w:t>
            </w:r>
          </w:p>
        </w:tc>
        <w:tc>
          <w:tcPr>
            <w:tcW w:w="7152" w:type="dxa"/>
          </w:tcPr>
          <w:p>
            <w:pPr>
              <w:pStyle w:val="0"/>
              <w:jc w:val="center"/>
            </w:pPr>
            <w:r>
              <w:rPr>
                <w:sz w:val="20"/>
              </w:rPr>
              <w:t xml:space="preserve">2</w:t>
            </w:r>
          </w:p>
        </w:tc>
      </w:tr>
      <w:tr>
        <w:tc>
          <w:tcPr>
            <w:tcW w:w="2986" w:type="dxa"/>
          </w:tcPr>
          <w:p>
            <w:pPr>
              <w:pStyle w:val="0"/>
              <w:jc w:val="both"/>
            </w:pPr>
            <w:r>
              <w:rPr>
                <w:sz w:val="20"/>
              </w:rPr>
              <w:t xml:space="preserve">выполнение подготовительных и организационно-технологических процедур при изготовлении зубных протезов и аппаратов</w:t>
            </w:r>
          </w:p>
        </w:tc>
        <w:tc>
          <w:tcPr>
            <w:tcW w:w="7152" w:type="dxa"/>
          </w:tcPr>
          <w:p>
            <w:pPr>
              <w:pStyle w:val="0"/>
              <w:jc w:val="both"/>
            </w:pPr>
            <w:r>
              <w:rPr>
                <w:sz w:val="20"/>
              </w:rPr>
              <w:t xml:space="preserve">ПК 1.1. Осуществлять подготовку стоматологического оборудования и оснащения зуботехнической лаборатории к работе с учетом организации зуботехнического производства.</w:t>
            </w:r>
          </w:p>
          <w:p>
            <w:pPr>
              <w:pStyle w:val="0"/>
              <w:jc w:val="both"/>
            </w:pPr>
            <w:r>
              <w:rPr>
                <w:sz w:val="20"/>
              </w:rPr>
              <w:t xml:space="preserve">ПК 1.2. Проводить контроль исправности, правильности эксплуатации стоматологического оборудования и оснащения, материалов зуботехнической лаборатории.</w:t>
            </w:r>
          </w:p>
          <w:p>
            <w:pPr>
              <w:pStyle w:val="0"/>
              <w:jc w:val="both"/>
            </w:pPr>
            <w:r>
              <w:rPr>
                <w:sz w:val="20"/>
              </w:rPr>
              <w:t xml:space="preserve">ПК 1.3. Обеспечивать требования охраны труда, правил техники безопасности, санитарно-эпидемиологического и гигиенического режимов при изготовлении зубных протезов и аппаратов.</w:t>
            </w:r>
          </w:p>
          <w:p>
            <w:pPr>
              <w:pStyle w:val="0"/>
              <w:jc w:val="both"/>
            </w:pPr>
            <w:r>
              <w:rPr>
                <w:sz w:val="20"/>
              </w:rPr>
              <w:t xml:space="preserve">ПК 1.4. Организовывать деятельность находящегося в распоряжении медицинского персонала.</w:t>
            </w:r>
          </w:p>
          <w:p>
            <w:pPr>
              <w:pStyle w:val="0"/>
              <w:jc w:val="both"/>
            </w:pPr>
            <w:r>
              <w:rPr>
                <w:sz w:val="20"/>
              </w:rPr>
              <w:t xml:space="preserve">ПК 1.5. Вести медицинскую документацию при изготовлении зубных протезов и аппаратов.</w:t>
            </w:r>
          </w:p>
          <w:p>
            <w:pPr>
              <w:pStyle w:val="0"/>
              <w:jc w:val="both"/>
            </w:pPr>
            <w:r>
              <w:rPr>
                <w:sz w:val="20"/>
              </w:rPr>
              <w:t xml:space="preserve">ПК 1.6. Оказывать медицинскую помощь в экстренной форме.</w:t>
            </w:r>
          </w:p>
        </w:tc>
      </w:tr>
      <w:tr>
        <w:tc>
          <w:tcPr>
            <w:tcW w:w="2986" w:type="dxa"/>
          </w:tcPr>
          <w:p>
            <w:pPr>
              <w:pStyle w:val="0"/>
              <w:jc w:val="both"/>
            </w:pPr>
            <w:r>
              <w:rPr>
                <w:sz w:val="20"/>
              </w:rPr>
              <w:t xml:space="preserve">изготовление съемных пластиночных, несъемных и бюгельных протезов</w:t>
            </w:r>
          </w:p>
        </w:tc>
        <w:tc>
          <w:tcPr>
            <w:tcW w:w="7152" w:type="dxa"/>
            <w:vAlign w:val="center"/>
          </w:tcPr>
          <w:p>
            <w:pPr>
              <w:pStyle w:val="0"/>
              <w:jc w:val="both"/>
            </w:pPr>
            <w:r>
              <w:rPr>
                <w:sz w:val="20"/>
              </w:rPr>
              <w:t xml:space="preserve">ПК 2.1. Изготавливать съемные пластиночные протезы при частичном и полном отсутствии зубов.</w:t>
            </w:r>
          </w:p>
          <w:p>
            <w:pPr>
              <w:pStyle w:val="0"/>
              <w:jc w:val="both"/>
            </w:pPr>
            <w:r>
              <w:rPr>
                <w:sz w:val="20"/>
              </w:rPr>
              <w:t xml:space="preserve">ПК 2.2. Производить починку съемных пластиночных протезов.</w:t>
            </w:r>
          </w:p>
          <w:p>
            <w:pPr>
              <w:pStyle w:val="0"/>
              <w:jc w:val="both"/>
            </w:pPr>
            <w:r>
              <w:rPr>
                <w:sz w:val="20"/>
              </w:rPr>
              <w:t xml:space="preserve">ПК 2.3. Изготавливать различные виды несъемных протезов с учетом индивидуальных особенностей пациента.</w:t>
            </w:r>
          </w:p>
          <w:p>
            <w:pPr>
              <w:pStyle w:val="0"/>
              <w:jc w:val="both"/>
            </w:pPr>
            <w:r>
              <w:rPr>
                <w:sz w:val="20"/>
              </w:rPr>
              <w:t xml:space="preserve">ПК 2.4. Изготавливать литые бюгельные зубные протезы.</w:t>
            </w:r>
          </w:p>
        </w:tc>
      </w:tr>
      <w:tr>
        <w:tc>
          <w:tcPr>
            <w:tcW w:w="2986" w:type="dxa"/>
          </w:tcPr>
          <w:p>
            <w:pPr>
              <w:pStyle w:val="0"/>
              <w:jc w:val="both"/>
            </w:pPr>
            <w:r>
              <w:rPr>
                <w:sz w:val="20"/>
              </w:rPr>
              <w:t xml:space="preserve">изготовление ортодонтических аппаратов челюстно-лицевых протезов</w:t>
            </w:r>
          </w:p>
        </w:tc>
        <w:tc>
          <w:tcPr>
            <w:tcW w:w="7152" w:type="dxa"/>
            <w:vAlign w:val="center"/>
          </w:tcPr>
          <w:p>
            <w:pPr>
              <w:pStyle w:val="0"/>
              <w:jc w:val="both"/>
            </w:pPr>
            <w:r>
              <w:rPr>
                <w:sz w:val="20"/>
              </w:rPr>
              <w:t xml:space="preserve">ПК. 3.1. Изготавливать основные съемные и несъемные ортодонтические аппараты с учетом индивидуальных особенностей пациента.</w:t>
            </w:r>
          </w:p>
          <w:p>
            <w:pPr>
              <w:pStyle w:val="0"/>
              <w:jc w:val="both"/>
            </w:pPr>
            <w:r>
              <w:rPr>
                <w:sz w:val="20"/>
              </w:rPr>
              <w:t xml:space="preserve">ПК 3.2. Изготавливать фиксирующие и репонирующие аппараты.</w:t>
            </w:r>
          </w:p>
          <w:p>
            <w:pPr>
              <w:pStyle w:val="0"/>
              <w:jc w:val="both"/>
            </w:pPr>
            <w:r>
              <w:rPr>
                <w:sz w:val="20"/>
              </w:rPr>
              <w:t xml:space="preserve">ПК. 3.3. Изготавливать замещающие протезы.</w:t>
            </w:r>
          </w:p>
          <w:p>
            <w:pPr>
              <w:pStyle w:val="0"/>
              <w:jc w:val="both"/>
            </w:pPr>
            <w:r>
              <w:rPr>
                <w:sz w:val="20"/>
              </w:rPr>
              <w:t xml:space="preserve">ПК 3.4. Изготавливать обтураторы при расщелинах твердого и мягкого неба.</w:t>
            </w:r>
          </w:p>
          <w:p>
            <w:pPr>
              <w:pStyle w:val="0"/>
              <w:jc w:val="both"/>
            </w:pPr>
            <w:r>
              <w:rPr>
                <w:sz w:val="20"/>
              </w:rPr>
              <w:t xml:space="preserve">ПК 3.5. Изготавливать лечебно-профилактические аппараты (шины).</w:t>
            </w:r>
          </w:p>
        </w:tc>
      </w:tr>
    </w:tbl>
    <w:p>
      <w:pPr>
        <w:pStyle w:val="0"/>
        <w:jc w:val="both"/>
      </w:pPr>
      <w:r>
        <w:rPr>
          <w:sz w:val="20"/>
        </w:rPr>
      </w:r>
    </w:p>
    <w:p>
      <w:pPr>
        <w:pStyle w:val="0"/>
        <w:ind w:firstLine="540"/>
        <w:jc w:val="both"/>
      </w:pPr>
      <w:r>
        <w:rPr>
          <w:sz w:val="20"/>
        </w:rPr>
        <w:t xml:space="preserve">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w:t>
      </w:r>
      <w:hyperlink w:history="0" w:anchor="P108"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0"/>
            <w:color w:val="0000ff"/>
          </w:rPr>
          <w:t xml:space="preserve">пунктом 2.4</w:t>
        </w:r>
      </w:hyperlink>
      <w:r>
        <w:rPr>
          <w:sz w:val="20"/>
        </w:rPr>
        <w:t xml:space="preserve"> ФГОС СПО, а также по видам деятельности, сформированным в вариативной части образовательной программы образовательной организацией для учета потребностей регионального рынка труда.</w:t>
      </w:r>
    </w:p>
    <w:p>
      <w:pPr>
        <w:pStyle w:val="0"/>
        <w:spacing w:before="200" w:lineRule="auto"/>
        <w:ind w:firstLine="540"/>
        <w:jc w:val="both"/>
      </w:pPr>
      <w:r>
        <w:rPr>
          <w:sz w:val="20"/>
        </w:rPr>
        <w:t xml:space="preserve">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осваиваемых в рамках образовательной программы.</w:t>
      </w:r>
    </w:p>
    <w:p>
      <w:pPr>
        <w:pStyle w:val="0"/>
        <w:spacing w:before="200" w:lineRule="auto"/>
        <w:ind w:firstLine="540"/>
        <w:jc w:val="both"/>
      </w:pPr>
      <w:r>
        <w:rPr>
          <w:sz w:val="20"/>
        </w:rPr>
        <w:t xml:space="preserve">3.5. Образовательная организация с учетом ПОП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pPr>
        <w:pStyle w:val="0"/>
        <w:jc w:val="both"/>
      </w:pPr>
      <w:r>
        <w:rPr>
          <w:sz w:val="20"/>
        </w:rPr>
        <w:t xml:space="preserve">(в ред. </w:t>
      </w:r>
      <w:hyperlink w:history="0" r:id="rId3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pPr>
        <w:pStyle w:val="0"/>
        <w:spacing w:before="200" w:lineRule="auto"/>
        <w:ind w:firstLine="540"/>
        <w:jc w:val="both"/>
      </w:pPr>
      <w:r>
        <w:rPr>
          <w:sz w:val="20"/>
        </w:rPr>
        <w:t xml:space="preserve">3.6. Обучающиеся, осваивающие образовательную программу, могут освоить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7 статьи 73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22, ст. 3379).</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Федеральный </w:t>
      </w:r>
      <w:hyperlink w:history="0" r:id="rId3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закон</w:t>
        </w:r>
      </w:hyperlink>
      <w:r>
        <w:rPr>
          <w:sz w:val="20"/>
        </w:rPr>
        <w:t xml:space="preserve"> от 30 марта 1999 г. N 52-ФЗ "О санитарно-эпидемиологическом благополучии населения" (Собрание законодательства Российской Федерации, 1999, N 14, ст. 1650; 2021, N 27, ст. 5185); санитарные правила </w:t>
      </w:r>
      <w:hyperlink w:history="0" r:id="rId3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санитарно-эпидемиологические правила и нормы </w:t>
      </w:r>
      <w:hyperlink w:history="0" r:id="rId36"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санитарные правила и нормы </w:t>
      </w:r>
      <w:hyperlink w:history="0" r:id="rId37"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
    <w:p>
      <w:pPr>
        <w:pStyle w:val="0"/>
        <w:jc w:val="both"/>
      </w:pPr>
      <w:r>
        <w:rPr>
          <w:sz w:val="20"/>
        </w:rPr>
      </w:r>
    </w:p>
    <w:p>
      <w:pPr>
        <w:pStyle w:val="0"/>
        <w:ind w:firstLine="540"/>
        <w:jc w:val="both"/>
      </w:pPr>
      <w:r>
        <w:rPr>
          <w:sz w:val="20"/>
        </w:rPr>
        <w:t xml:space="preserve">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pPr>
        <w:pStyle w:val="0"/>
        <w:spacing w:before="200" w:lineRule="auto"/>
        <w:ind w:firstLine="540"/>
        <w:jc w:val="both"/>
      </w:pPr>
      <w:r>
        <w:rPr>
          <w:sz w:val="20"/>
        </w:rPr>
        <w:t xml:space="preserve">4.3.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ПОП;</w:t>
      </w:r>
    </w:p>
    <w:p>
      <w:pPr>
        <w:pStyle w:val="0"/>
        <w:jc w:val="both"/>
      </w:pPr>
      <w:r>
        <w:rPr>
          <w:sz w:val="20"/>
        </w:rPr>
        <w:t xml:space="preserve">(в ред. </w:t>
      </w:r>
      <w:hyperlink w:history="0" r:id="rId3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4.4.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pPr>
        <w:pStyle w:val="0"/>
        <w:spacing w:before="200" w:lineRule="auto"/>
        <w:ind w:firstLine="540"/>
        <w:jc w:val="both"/>
      </w:pPr>
      <w:r>
        <w:rPr>
          <w:sz w:val="20"/>
        </w:rPr>
        <w:t xml:space="preserve">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pPr>
        <w:pStyle w:val="0"/>
        <w:spacing w:before="200" w:lineRule="auto"/>
        <w:ind w:firstLine="540"/>
        <w:jc w:val="both"/>
      </w:pPr>
      <w:r>
        <w:rPr>
          <w:sz w:val="20"/>
        </w:rPr>
        <w:t xml:space="preserve">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г) допускается замена оборудования его виртуальными аналогами;</w:t>
      </w:r>
    </w:p>
    <w:p>
      <w:pPr>
        <w:pStyle w:val="0"/>
        <w:spacing w:before="200" w:lineRule="auto"/>
        <w:ind w:firstLine="540"/>
        <w:jc w:val="both"/>
      </w:pPr>
      <w:r>
        <w:rPr>
          <w:sz w:val="20"/>
        </w:rPr>
        <w:t xml:space="preserve">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pPr>
        <w:pStyle w:val="0"/>
        <w:spacing w:before="200" w:lineRule="auto"/>
        <w:ind w:firstLine="540"/>
        <w:jc w:val="both"/>
      </w:pPr>
      <w:r>
        <w:rPr>
          <w:sz w:val="20"/>
        </w:rPr>
        <w:t xml:space="preserve">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ж) в качестве основной литературы образовательная организация использует учебники, учебные пособия, предусмотренные ПОП;</w:t>
      </w:r>
    </w:p>
    <w:p>
      <w:pPr>
        <w:pStyle w:val="0"/>
        <w:jc w:val="both"/>
      </w:pPr>
      <w:r>
        <w:rPr>
          <w:sz w:val="20"/>
        </w:rPr>
        <w:t xml:space="preserve">(в ред. </w:t>
      </w:r>
      <w:hyperlink w:history="0" r:id="rId3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pPr>
        <w:pStyle w:val="0"/>
        <w:spacing w:before="200" w:lineRule="auto"/>
        <w:ind w:firstLine="540"/>
        <w:jc w:val="both"/>
      </w:pPr>
      <w:r>
        <w:rPr>
          <w:sz w:val="20"/>
        </w:rPr>
        <w:t xml:space="preserve">и)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pPr>
        <w:pStyle w:val="0"/>
        <w:spacing w:before="200" w:lineRule="auto"/>
        <w:ind w:firstLine="540"/>
        <w:jc w:val="both"/>
      </w:pPr>
      <w:r>
        <w:rPr>
          <w:sz w:val="20"/>
        </w:rPr>
        <w:t xml:space="preserve">л) образовательная программа должна обеспечиваться учебно-методической документацией по всем учебным дисциплинам (модулям), видам практики, видам государственной итоговой аттестации;</w:t>
      </w:r>
    </w:p>
    <w:p>
      <w:pPr>
        <w:pStyle w:val="0"/>
        <w:spacing w:before="200" w:lineRule="auto"/>
        <w:ind w:firstLine="540"/>
        <w:jc w:val="both"/>
      </w:pPr>
      <w:r>
        <w:rPr>
          <w:sz w:val="20"/>
        </w:rPr>
        <w:t xml:space="preserve">м) рекомендации по иному материально-техническому и учебно-методическому обеспечению реализации образовательной программы определяются ПОП.</w:t>
      </w:r>
    </w:p>
    <w:p>
      <w:pPr>
        <w:pStyle w:val="0"/>
        <w:jc w:val="both"/>
      </w:pPr>
      <w:r>
        <w:rPr>
          <w:sz w:val="20"/>
        </w:rPr>
        <w:t xml:space="preserve">(в ред. </w:t>
      </w:r>
      <w:hyperlink w:history="0" r:id="rId4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4.5. Требования к кадровым условиям реализации образовательной программы:</w:t>
      </w:r>
    </w:p>
    <w:p>
      <w:pPr>
        <w:pStyle w:val="0"/>
        <w:spacing w:before="200" w:lineRule="auto"/>
        <w:ind w:firstLine="540"/>
        <w:jc w:val="both"/>
      </w:pPr>
      <w:r>
        <w:rPr>
          <w:sz w:val="20"/>
        </w:rPr>
        <w:t xml:space="preserve">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68" w:tooltip="1.12. Область профессиональной деятельности, в которой выпускники, освоившие образовательную программу, могут осуществлять профессиональную деятельность: 02 Здравоохранение &lt;4&gt;.">
        <w:r>
          <w:rPr>
            <w:sz w:val="20"/>
            <w:color w:val="0000ff"/>
          </w:rPr>
          <w:t xml:space="preserve">пункте 1.12</w:t>
        </w:r>
      </w:hyperlink>
      <w:r>
        <w:rPr>
          <w:sz w:val="20"/>
        </w:rPr>
        <w:t xml:space="preserve"> ФГОС СПО (имеющих стаж работы в данной профессиональной области не менее трех лет);</w:t>
      </w:r>
    </w:p>
    <w:p>
      <w:pPr>
        <w:pStyle w:val="0"/>
        <w:spacing w:before="200" w:lineRule="auto"/>
        <w:ind w:firstLine="540"/>
        <w:jc w:val="both"/>
      </w:pPr>
      <w:r>
        <w:rPr>
          <w:sz w:val="20"/>
        </w:rPr>
        <w:t xml:space="preserve">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68" w:tooltip="1.12. Область профессиональной деятельности, в которой выпускники, освоившие образовательную программу, могут осуществлять профессиональную деятельность: 02 Здравоохранение &lt;4&gt;.">
        <w:r>
          <w:rPr>
            <w:sz w:val="20"/>
            <w:color w:val="0000ff"/>
          </w:rPr>
          <w:t xml:space="preserve">пункте 1.12</w:t>
        </w:r>
      </w:hyperlink>
      <w:r>
        <w:rPr>
          <w:sz w:val="20"/>
        </w:rPr>
        <w:t xml:space="preserve">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pPr>
        <w:pStyle w:val="0"/>
        <w:spacing w:before="200" w:lineRule="auto"/>
        <w:ind w:firstLine="540"/>
        <w:jc w:val="both"/>
      </w:pPr>
      <w:r>
        <w:rPr>
          <w:sz w:val="20"/>
        </w:rPr>
        <w:t xml:space="preserve">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w:t>
      </w:r>
      <w:hyperlink w:history="0" w:anchor="P68" w:tooltip="1.12. Область профессиональной деятельности, в которой выпускники, освоившие образовательную программу, могут осуществлять профессиональную деятельность: 02 Здравоохранение &lt;4&gt;.">
        <w:r>
          <w:rPr>
            <w:sz w:val="20"/>
            <w:color w:val="0000ff"/>
          </w:rPr>
          <w:t xml:space="preserve">пункте 1.12</w:t>
        </w:r>
      </w:hyperlink>
      <w:r>
        <w:rPr>
          <w:sz w:val="20"/>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spacing w:before="200" w:lineRule="auto"/>
        <w:ind w:firstLine="540"/>
        <w:jc w:val="both"/>
      </w:pPr>
      <w:r>
        <w:rPr>
          <w:sz w:val="20"/>
        </w:rPr>
        <w:t xml:space="preserve">4.6. Требование к финансовым условиям реализации образовательной программы:</w:t>
      </w:r>
    </w:p>
    <w:p>
      <w:pPr>
        <w:pStyle w:val="0"/>
        <w:spacing w:before="200" w:lineRule="auto"/>
        <w:ind w:firstLine="540"/>
        <w:jc w:val="both"/>
      </w:pPr>
      <w:r>
        <w:rPr>
          <w:sz w:val="20"/>
        </w:rP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&lt;7&gt; и Федеральным </w:t>
      </w:r>
      <w:hyperlink w:history="0" r:id="rId4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 N 273-ФЗ "Об образовании в Российской Федерации".</w:t>
      </w:r>
    </w:p>
    <w:p>
      <w:pPr>
        <w:pStyle w:val="0"/>
        <w:jc w:val="both"/>
      </w:pPr>
      <w:r>
        <w:rPr>
          <w:sz w:val="20"/>
        </w:rPr>
        <w:t xml:space="preserve">(п. 4.6 в ред. </w:t>
      </w:r>
      <w:hyperlink w:history="0" r:id="rId4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Бюджетный </w:t>
      </w:r>
      <w:hyperlink w:history="0" r:id="rId43" w:tooltip="&quot;Бюджетный кодекс Российской Федерации&quot; от 31.07.1998 N 145-ФЗ (ред. от 28.12.2025) {КонсультантПлюс}">
        <w:r>
          <w:rPr>
            <w:sz w:val="20"/>
            <w:color w:val="0000ff"/>
          </w:rPr>
          <w:t xml:space="preserve">кодекс</w:t>
        </w:r>
      </w:hyperlink>
      <w:r>
        <w:rPr>
          <w:sz w:val="20"/>
        </w:rPr>
        <w:t xml:space="preserve"> Российской Федерации.</w:t>
      </w:r>
    </w:p>
    <w:p>
      <w:pPr>
        <w:pStyle w:val="0"/>
        <w:ind w:firstLine="540"/>
        <w:jc w:val="both"/>
      </w:pPr>
      <w:r>
        <w:rPr>
          <w:sz w:val="20"/>
        </w:rPr>
      </w:r>
    </w:p>
    <w:p>
      <w:pPr>
        <w:pStyle w:val="0"/>
        <w:ind w:firstLine="540"/>
        <w:jc w:val="both"/>
      </w:pPr>
      <w:r>
        <w:rPr>
          <w:sz w:val="20"/>
        </w:rPr>
        <w:t xml:space="preserve">4.7.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а)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в)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pPr>
        <w:pStyle w:val="0"/>
        <w:jc w:val="both"/>
      </w:pPr>
      <w:r>
        <w:rPr>
          <w:sz w:val="20"/>
        </w:rPr>
        <w:t xml:space="preserve">(пп. "в" в ред. </w:t>
      </w:r>
      <w:hyperlink w:history="0" r:id="rId4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0"/>
            <w:color w:val="0000ff"/>
          </w:rPr>
          <w:t xml:space="preserve">Приказа</w:t>
        </w:r>
      </w:hyperlink>
      <w:r>
        <w:rPr>
          <w:sz w:val="20"/>
        </w:rPr>
        <w:t xml:space="preserve"> Минпросвещения России от 03.07.2024 N 464)</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06.07.2022 N 531</w:t>
            <w:br/>
            <w:t>(ред. от 03.07.2024)</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83090&amp;dst=110892" TargetMode = "External"/><Relationship Id="rId9" Type="http://schemas.openxmlformats.org/officeDocument/2006/relationships/hyperlink" Target="https://login.consultant.ru/link/?req=doc&amp;base=RZR&amp;n=499281&amp;dst=100051" TargetMode = "External"/><Relationship Id="rId10" Type="http://schemas.openxmlformats.org/officeDocument/2006/relationships/hyperlink" Target="https://login.consultant.ru/link/?req=doc&amp;base=RZR&amp;n=481262&amp;dst=100072" TargetMode = "External"/><Relationship Id="rId11" Type="http://schemas.openxmlformats.org/officeDocument/2006/relationships/hyperlink" Target="https://login.consultant.ru/link/?req=doc&amp;base=RZR&amp;n=398406&amp;dst=100012" TargetMode = "External"/><Relationship Id="rId12" Type="http://schemas.openxmlformats.org/officeDocument/2006/relationships/hyperlink" Target="https://login.consultant.ru/link/?req=doc&amp;base=RZR&amp;n=377712&amp;dst=101474" TargetMode = "External"/><Relationship Id="rId13" Type="http://schemas.openxmlformats.org/officeDocument/2006/relationships/hyperlink" Target="https://login.consultant.ru/link/?req=doc&amp;base=RZR&amp;n=483090&amp;dst=110892" TargetMode = "External"/><Relationship Id="rId14" Type="http://schemas.openxmlformats.org/officeDocument/2006/relationships/hyperlink" Target="https://login.consultant.ru/link/?req=doc&amp;base=RZR&amp;n=516823&amp;dst=101045" TargetMode = "External"/><Relationship Id="rId15" Type="http://schemas.openxmlformats.org/officeDocument/2006/relationships/hyperlink" Target="https://login.consultant.ru/link/?req=doc&amp;base=RZR&amp;n=516823&amp;dst=100562" TargetMode = "External"/><Relationship Id="rId16" Type="http://schemas.openxmlformats.org/officeDocument/2006/relationships/hyperlink" Target="https://login.consultant.ru/link/?req=doc&amp;base=RZR&amp;n=483090&amp;dst=110893" TargetMode = "External"/><Relationship Id="rId17" Type="http://schemas.openxmlformats.org/officeDocument/2006/relationships/hyperlink" Target="https://login.consultant.ru/link/?req=doc&amp;base=RZR&amp;n=510818&amp;dst=446" TargetMode = "External"/><Relationship Id="rId18" Type="http://schemas.openxmlformats.org/officeDocument/2006/relationships/hyperlink" Target="https://login.consultant.ru/link/?req=doc&amp;base=RZR&amp;n=510818&amp;dst=100249" TargetMode = "External"/><Relationship Id="rId19" Type="http://schemas.openxmlformats.org/officeDocument/2006/relationships/hyperlink" Target="https://login.consultant.ru/link/?req=doc&amp;base=RZR&amp;n=214720&amp;dst=100052" TargetMode = "External"/><Relationship Id="rId20" Type="http://schemas.openxmlformats.org/officeDocument/2006/relationships/hyperlink" Target="https://login.consultant.ru/link/?req=doc&amp;base=RZR&amp;n=214720&amp;dst=100047" TargetMode = "External"/><Relationship Id="rId21" Type="http://schemas.openxmlformats.org/officeDocument/2006/relationships/hyperlink" Target="https://login.consultant.ru/link/?req=doc&amp;base=RZR&amp;n=483090&amp;dst=110894" TargetMode = "External"/><Relationship Id="rId22" Type="http://schemas.openxmlformats.org/officeDocument/2006/relationships/hyperlink" Target="https://login.consultant.ru/link/?req=doc&amp;base=RZR&amp;n=483090&amp;dst=110895" TargetMode = "External"/><Relationship Id="rId23" Type="http://schemas.openxmlformats.org/officeDocument/2006/relationships/hyperlink" Target="https://login.consultant.ru/link/?req=doc&amp;base=RZR&amp;n=483090&amp;dst=110896" TargetMode = "External"/><Relationship Id="rId24" Type="http://schemas.openxmlformats.org/officeDocument/2006/relationships/hyperlink" Target="https://login.consultant.ru/link/?req=doc&amp;base=RZR&amp;n=483090&amp;dst=110897" TargetMode = "External"/><Relationship Id="rId25" Type="http://schemas.openxmlformats.org/officeDocument/2006/relationships/hyperlink" Target="https://login.consultant.ru/link/?req=doc&amp;base=RZR&amp;n=483090&amp;dst=110898" TargetMode = "External"/><Relationship Id="rId26" Type="http://schemas.openxmlformats.org/officeDocument/2006/relationships/hyperlink" Target="https://login.consultant.ru/link/?req=doc&amp;base=RZR&amp;n=483090&amp;dst=110899" TargetMode = "External"/><Relationship Id="rId27" Type="http://schemas.openxmlformats.org/officeDocument/2006/relationships/hyperlink" Target="https://login.consultant.ru/link/?req=doc&amp;base=RZR&amp;n=510750&amp;dst=633" TargetMode = "External"/><Relationship Id="rId28" Type="http://schemas.openxmlformats.org/officeDocument/2006/relationships/hyperlink" Target="https://login.consultant.ru/link/?req=doc&amp;base=RZR&amp;n=483090&amp;dst=110901" TargetMode = "External"/><Relationship Id="rId29" Type="http://schemas.openxmlformats.org/officeDocument/2006/relationships/hyperlink" Target="https://login.consultant.ru/link/?req=doc&amp;base=RZR&amp;n=483090&amp;dst=110904" TargetMode = "External"/><Relationship Id="rId30" Type="http://schemas.openxmlformats.org/officeDocument/2006/relationships/hyperlink" Target="https://login.consultant.ru/link/?req=doc&amp;base=RZR&amp;n=483090&amp;dst=110905" TargetMode = "External"/><Relationship Id="rId31" Type="http://schemas.openxmlformats.org/officeDocument/2006/relationships/hyperlink" Target="https://login.consultant.ru/link/?req=doc&amp;base=RZR&amp;n=483090&amp;dst=110906" TargetMode = "External"/><Relationship Id="rId32" Type="http://schemas.openxmlformats.org/officeDocument/2006/relationships/hyperlink" Target="https://login.consultant.ru/link/?req=doc&amp;base=RZR&amp;n=483090&amp;dst=110907" TargetMode = "External"/><Relationship Id="rId33" Type="http://schemas.openxmlformats.org/officeDocument/2006/relationships/hyperlink" Target="https://login.consultant.ru/link/?req=doc&amp;base=RZR&amp;n=510818&amp;dst=415" TargetMode = "External"/><Relationship Id="rId34" Type="http://schemas.openxmlformats.org/officeDocument/2006/relationships/hyperlink" Target="https://login.consultant.ru/link/?req=doc&amp;base=RZR&amp;n=499496" TargetMode = "External"/><Relationship Id="rId35" Type="http://schemas.openxmlformats.org/officeDocument/2006/relationships/hyperlink" Target="https://login.consultant.ru/link/?req=doc&amp;base=RZR&amp;n=522968&amp;dst=100047" TargetMode = "External"/><Relationship Id="rId36" Type="http://schemas.openxmlformats.org/officeDocument/2006/relationships/hyperlink" Target="https://login.consultant.ru/link/?req=doc&amp;base=RZR&amp;n=494597&amp;dst=100037" TargetMode = "External"/><Relationship Id="rId37" Type="http://schemas.openxmlformats.org/officeDocument/2006/relationships/hyperlink" Target="https://login.consultant.ru/link/?req=doc&amp;base=RZR&amp;n=522971&amp;dst=100137" TargetMode = "External"/><Relationship Id="rId38" Type="http://schemas.openxmlformats.org/officeDocument/2006/relationships/hyperlink" Target="https://login.consultant.ru/link/?req=doc&amp;base=RZR&amp;n=483090&amp;dst=110908" TargetMode = "External"/><Relationship Id="rId39" Type="http://schemas.openxmlformats.org/officeDocument/2006/relationships/hyperlink" Target="https://login.consultant.ru/link/?req=doc&amp;base=RZR&amp;n=483090&amp;dst=110910" TargetMode = "External"/><Relationship Id="rId40" Type="http://schemas.openxmlformats.org/officeDocument/2006/relationships/hyperlink" Target="https://login.consultant.ru/link/?req=doc&amp;base=RZR&amp;n=483090&amp;dst=110911" TargetMode = "External"/><Relationship Id="rId41" Type="http://schemas.openxmlformats.org/officeDocument/2006/relationships/hyperlink" Target="https://login.consultant.ru/link/?req=doc&amp;base=RZR&amp;n=510818" TargetMode = "External"/><Relationship Id="rId42" Type="http://schemas.openxmlformats.org/officeDocument/2006/relationships/hyperlink" Target="https://login.consultant.ru/link/?req=doc&amp;base=RZR&amp;n=483090&amp;dst=110912" TargetMode = "External"/><Relationship Id="rId43" Type="http://schemas.openxmlformats.org/officeDocument/2006/relationships/hyperlink" Target="https://login.consultant.ru/link/?req=doc&amp;base=RZR&amp;n=495710" TargetMode = "External"/><Relationship Id="rId44" Type="http://schemas.openxmlformats.org/officeDocument/2006/relationships/hyperlink" Target="https://login.consultant.ru/link/?req=doc&amp;base=RZR&amp;n=483090&amp;dst=11091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06.07.2022 N 531
(ред. от 03.07.2024)
"Об утверждении федерального государственного образовательного стандарта среднего профессионального образования по специальности 31.02.05 Стоматология ортопедическая"
(Зарегистрировано в Минюсте России 29.07.2022 N 69454)</dc:title>
  <dcterms:created xsi:type="dcterms:W3CDTF">2026-02-11T07:51:39Z</dcterms:created>
</cp:coreProperties>
</file>